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53"/>
        <w:gridCol w:w="5197"/>
        <w:gridCol w:w="194"/>
        <w:gridCol w:w="118"/>
        <w:gridCol w:w="409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C1E2FDF" w:rsidR="00093CA9" w:rsidRDefault="00296B72" w:rsidP="00093CA9">
            <w:r>
              <w:t>JSA Advocates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653B334" w:rsidR="00093CA9" w:rsidRDefault="00227376" w:rsidP="00093CA9">
            <w:r w:rsidRPr="00227376">
              <w:t>Priority Sector Lending (update) in 2015</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7FEA26B" w:rsidR="00093CA9" w:rsidRDefault="00FC25E5" w:rsidP="00093CA9">
            <w:hyperlink r:id="rId17" w:history="1">
              <w:r w:rsidRPr="00AF7ECB">
                <w:rPr>
                  <w:rStyle w:val="Hyperlink"/>
                </w:rPr>
                <w:t>https://web.archive.org/web/20250708163543/https://www.rbi.org.in/Scripts/BS_ViewMasDirections.aspx?id=12799</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509A94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686CAC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489574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8C0593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7230BC1" w:rsidR="00093CA9" w:rsidRDefault="00227376"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0B755D8" w14:textId="2361B9F4" w:rsidR="005828F6" w:rsidRPr="005828F6" w:rsidRDefault="005828F6" w:rsidP="005828F6">
            <w:pPr>
              <w:jc w:val="both"/>
              <w:rPr>
                <w:lang w:val="en-IN"/>
              </w:rPr>
            </w:pPr>
            <w:r w:rsidRPr="005828F6">
              <w:rPr>
                <w:lang w:val="en-IN"/>
              </w:rPr>
              <w:t>The Priority Sector Lending (PSL) framework, issued by the Reserve Bank of India (RBI), mandates all Scheduled Commercial Banks—including Regional Rural Banks, Small Finance Banks, Local Area Banks, and Urban Cooperative Banks—to allocate a fixed percentage of their Adjusted Net Bank Credit (ANBC) or Credit Equivalent of Off-Balance Sheet Exposure (CEOBSE) to identified "priority sectors." These include agriculture, renewable energy, and other sectors critical to inclusive growth.</w:t>
            </w:r>
          </w:p>
          <w:p w14:paraId="22C87D0F" w14:textId="488D4BAB" w:rsidR="005828F6" w:rsidRPr="005828F6" w:rsidRDefault="005828F6" w:rsidP="005828F6">
            <w:pPr>
              <w:jc w:val="both"/>
              <w:rPr>
                <w:lang w:val="en-IN"/>
              </w:rPr>
            </w:pPr>
            <w:r w:rsidRPr="005828F6">
              <w:rPr>
                <w:lang w:val="en-IN"/>
              </w:rPr>
              <w:t>The PSL framework was comprehensively revised in 2015 to expand sectoral coverage (e.g., renewable energy, social infrastructure) and introduce sub-targets (e.g., 8% for Small and Marginal Farmers, 7.5% for Micro Enterprises). The policy is currently governed by the RBI (Priority Sector Lending – Targets and Classification) Directions, 2025, which consolidate earlier circulars and define targets, computation methodology, and mechanisms for shortfall adjustment (e.g., deposits with NABARD, SIDBI, NHB, or MUDRA).</w:t>
            </w:r>
          </w:p>
          <w:p w14:paraId="007267B1" w14:textId="77777777" w:rsidR="005828F6" w:rsidRPr="005828F6" w:rsidRDefault="005828F6" w:rsidP="005828F6">
            <w:pPr>
              <w:jc w:val="both"/>
              <w:rPr>
                <w:lang w:val="en-IN"/>
              </w:rPr>
            </w:pPr>
            <w:r w:rsidRPr="005828F6">
              <w:rPr>
                <w:lang w:val="en-IN"/>
              </w:rPr>
              <w:t>The PSL framework functions as a prudential tool by:</w:t>
            </w:r>
          </w:p>
          <w:p w14:paraId="4000B077" w14:textId="77777777" w:rsidR="005828F6" w:rsidRPr="005828F6" w:rsidRDefault="005828F6" w:rsidP="005828F6">
            <w:pPr>
              <w:jc w:val="both"/>
              <w:rPr>
                <w:lang w:val="en-IN"/>
              </w:rPr>
            </w:pPr>
            <w:r w:rsidRPr="005828F6">
              <w:rPr>
                <w:lang w:val="en-IN"/>
              </w:rPr>
              <w:t>(a) directing credit to underserved sectors with developmental priorities,</w:t>
            </w:r>
          </w:p>
          <w:p w14:paraId="757EA3CA" w14:textId="77777777" w:rsidR="005828F6" w:rsidRPr="005828F6" w:rsidRDefault="005828F6" w:rsidP="005828F6">
            <w:pPr>
              <w:jc w:val="both"/>
              <w:rPr>
                <w:lang w:val="en-IN"/>
              </w:rPr>
            </w:pPr>
            <w:r w:rsidRPr="005828F6">
              <w:rPr>
                <w:lang w:val="en-IN"/>
              </w:rPr>
              <w:t>(b) facilitating climate-aligned lending (e.g., renewable energy, sustainable agriculture), and</w:t>
            </w:r>
          </w:p>
          <w:p w14:paraId="18257824" w14:textId="165E6A88" w:rsidR="00093CA9" w:rsidRPr="005828F6" w:rsidRDefault="005828F6" w:rsidP="002B0F87">
            <w:pPr>
              <w:jc w:val="both"/>
              <w:rPr>
                <w:lang w:val="en-IN"/>
              </w:rPr>
            </w:pPr>
            <w:r w:rsidRPr="005828F6">
              <w:rPr>
                <w:lang w:val="en-IN"/>
              </w:rPr>
              <w:t>(c) mitigating concentration risk through prescribed sectoral exposure limits.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E269B9C" w:rsidR="00093CA9" w:rsidRDefault="007F054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24FE7D9" w:rsidR="00093CA9" w:rsidRPr="00173D7C" w:rsidRDefault="001B45FB" w:rsidP="00093CA9">
            <w:pPr>
              <w:rPr>
                <w:color w:val="000000" w:themeColor="text1"/>
              </w:rPr>
            </w:pPr>
            <w:r>
              <w:rPr>
                <w:color w:val="000000" w:themeColor="text1"/>
              </w:rPr>
              <w:t>2015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3C6AB3B" w:rsidR="00093CA9" w:rsidRPr="00173D7C" w:rsidRDefault="001B45FB" w:rsidP="00093CA9">
            <w:pPr>
              <w:rPr>
                <w:color w:val="000000" w:themeColor="text1"/>
              </w:rPr>
            </w:pPr>
            <w:r>
              <w:rPr>
                <w:color w:val="000000" w:themeColor="text1"/>
              </w:rPr>
              <w:t>2015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8FE2B30" w:rsidR="00093CA9" w:rsidRDefault="00D11B39" w:rsidP="00093CA9">
            <w:r w:rsidRPr="00D11B39">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5207F5F" w:rsidR="00093CA9" w:rsidRPr="006B7B0D" w:rsidRDefault="0054133A" w:rsidP="00093CA9">
            <w:r w:rsidRPr="0054133A">
              <w:t xml:space="preserve">Reserve Bank of India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FF3FC4D" w:rsidR="00093CA9" w:rsidRPr="006B7B0D" w:rsidRDefault="0054133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46A1B1A4" w:rsidR="00093CA9" w:rsidRDefault="00274C99" w:rsidP="00093CA9">
            <w:r w:rsidRPr="00274C99">
              <w:t xml:space="preserve">The RBI, as India’s central banking authority, is statutorily empowered to supervise and regulate all Scheduled Commercial Banks. It administers the PSL framework through the RBI (Priority Sector Lending – Targets and Classification) Directions, 2025. RBI monitors compliance through </w:t>
            </w:r>
            <w:r w:rsidRPr="00274C99">
              <w:lastRenderedPageBreak/>
              <w:t xml:space="preserve">periodic reporting requirements, onsite and offsite inspections, and supervisory enforcement under the Banking Regulation Act, 1949.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951212D" w:rsidR="00093CA9" w:rsidRDefault="00DC66E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5A137F9" w:rsidR="00093CA9" w:rsidRPr="007D3862" w:rsidRDefault="008B31A0" w:rsidP="002B0F87">
            <w:pPr>
              <w:keepNext/>
              <w:jc w:val="both"/>
              <w:rPr>
                <w:color w:val="000000" w:themeColor="text1"/>
              </w:rPr>
            </w:pPr>
            <w:r>
              <w:rPr>
                <w:color w:val="000000" w:themeColor="text1"/>
              </w:rPr>
              <w:t>M</w:t>
            </w:r>
            <w:r w:rsidRPr="008B31A0">
              <w:rPr>
                <w:color w:val="000000" w:themeColor="text1"/>
              </w:rPr>
              <w:t>onitoring of compliance under the PSL framework is governed by Paragraph 28 of the RBI Master Directions, 2025. All Scheduled Commercial Banks are required to submit quarterly and annual data on priority sector advances in prescribed formats. Quarterly reports must be furnished within 15 days of the end of each quarter, and annual reports within one month of the end of the financial year.</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50C7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50C7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50C7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DB63A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57D336C5" w:rsidR="00D4323A" w:rsidRPr="00CF2E7C" w:rsidRDefault="00063411"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55401274" w:rsidR="00D4323A" w:rsidRPr="00CF2E7C" w:rsidRDefault="00063411"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15DBF01F" w:rsidR="00D4323A" w:rsidRPr="00CF2E7C" w:rsidRDefault="006776E6"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1EF7DF46"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6EA0B0A6" w:rsidR="00D4323A" w:rsidRPr="00CF2E7C" w:rsidRDefault="006776E6"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6223538B" w:rsidR="00D4323A" w:rsidRPr="00CF2E7C" w:rsidRDefault="006776E6"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68281A7" w:rsidR="00D4323A" w:rsidRPr="00CF2E7C" w:rsidRDefault="006776E6"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25541675" w:rsidR="00D4323A" w:rsidRPr="00CF2E7C" w:rsidRDefault="006776E6"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1DFED09E" w:rsidR="00D4323A" w:rsidRPr="00CF2E7C" w:rsidRDefault="006776E6"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1B81D2F4" w:rsidR="00D4323A" w:rsidRPr="00CF2E7C" w:rsidRDefault="006776E6"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4CB74D97" w:rsidR="00D4323A" w:rsidRPr="00CF2E7C" w:rsidRDefault="006776E6"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637A7B06" w:rsidR="00D4323A" w:rsidRPr="00CF2E7C" w:rsidRDefault="006776E6"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lastRenderedPageBreak/>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5E68E385" w:rsidR="00D4323A" w:rsidRPr="00CF2E7C" w:rsidRDefault="006776E6"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2F016E5A" w:rsidR="00D4323A" w:rsidRPr="00CF2E7C" w:rsidRDefault="006776E6"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39F026CF" w:rsidR="00DD292A" w:rsidRPr="00CF2E7C" w:rsidRDefault="006776E6"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317D5802" w:rsidR="00DD292A" w:rsidRPr="00CF2E7C" w:rsidRDefault="006776E6"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035EBE4B" w:rsidR="00DD292A" w:rsidRPr="00CF2E7C" w:rsidRDefault="006776E6"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C39C7BA" w:rsidR="00DD292A" w:rsidRPr="00CF2E7C" w:rsidRDefault="006776E6"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48A99644" w:rsidR="00DD292A" w:rsidRPr="00CF2E7C" w:rsidRDefault="006776E6"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507D2DA4" w:rsidR="00DD292A" w:rsidRPr="00CF2E7C" w:rsidRDefault="006776E6"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lastRenderedPageBreak/>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DB63A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4695AB07" w:rsidR="00DD292A" w:rsidRPr="00CF2E7C" w:rsidRDefault="000354C0" w:rsidP="002B0F87">
            <w:pPr>
              <w:jc w:val="both"/>
              <w:rPr>
                <w:rFonts w:ascii="Calibri" w:hAnsi="Calibri" w:cs="Calibri"/>
              </w:rPr>
            </w:pPr>
            <w:r w:rsidRPr="000354C0">
              <w:rPr>
                <w:rFonts w:ascii="Calibri" w:hAnsi="Calibri" w:cs="Calibri"/>
              </w:rPr>
              <w:t>Yes. The Directions apply to all commercial banks (including RRBs, SFBs, LABs) and UCBs operating in India</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5C49AF41" w:rsidR="00DD292A" w:rsidRPr="00CF2E7C" w:rsidRDefault="000354C0"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561EA5D2"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lastRenderedPageBreak/>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06E5A3D" w:rsidR="00DD3B33" w:rsidRPr="00CF2E7C" w:rsidRDefault="000354C0"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370B7678" w:rsidR="00DD3B33" w:rsidRPr="00034B56" w:rsidRDefault="00B21409" w:rsidP="002B0F87">
            <w:pPr>
              <w:jc w:val="both"/>
              <w:rPr>
                <w:rFonts w:ascii="Calibri" w:hAnsi="Calibri" w:cs="Calibri"/>
              </w:rPr>
            </w:pPr>
            <w:r w:rsidRPr="00B21409">
              <w:rPr>
                <w:rFonts w:ascii="Calibri" w:hAnsi="Calibri" w:cs="Calibri"/>
              </w:rPr>
              <w:t xml:space="preserve">Banks that </w:t>
            </w:r>
            <w:r>
              <w:rPr>
                <w:rFonts w:ascii="Calibri" w:hAnsi="Calibri" w:cs="Calibri"/>
              </w:rPr>
              <w:t xml:space="preserve">fail to </w:t>
            </w:r>
            <w:r w:rsidRPr="00B21409">
              <w:rPr>
                <w:rFonts w:ascii="Calibri" w:hAnsi="Calibri" w:cs="Calibri"/>
              </w:rPr>
              <w:t>meet their PSL targets or sub-targets may be required, under Paragraph 29 of the RBI Master Directions, 2025, to deposit the shortfall amount with designated institutions such as NABARD (under the RIDF), SIDBI, NHB, or MUDRA Ltd.</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D4E47E0" w:rsidR="00DD292A" w:rsidRPr="00CF2E7C" w:rsidRDefault="00034B56" w:rsidP="00CF2E7C">
            <w:pPr>
              <w:rPr>
                <w:rFonts w:ascii="Calibri" w:hAnsi="Calibri" w:cs="Calibri"/>
              </w:rPr>
            </w:pPr>
            <w:r>
              <w:rPr>
                <w:rFonts w:ascii="Calibri" w:hAnsi="Calibri" w:cs="Calibri"/>
              </w:rPr>
              <w:t>X</w:t>
            </w: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9CD9256" w14:textId="2DF443FB" w:rsidR="00E97B0E" w:rsidRPr="00E97B0E" w:rsidRDefault="00E97B0E" w:rsidP="00E97B0E">
            <w:pPr>
              <w:jc w:val="both"/>
              <w:rPr>
                <w:rFonts w:ascii="Calibri" w:hAnsi="Calibri" w:cs="Calibri"/>
                <w:lang w:val="en-IN"/>
              </w:rPr>
            </w:pPr>
            <w:r w:rsidRPr="00E97B0E">
              <w:rPr>
                <w:rFonts w:ascii="Calibri" w:hAnsi="Calibri" w:cs="Calibri"/>
                <w:lang w:val="en-IN"/>
              </w:rPr>
              <w:t>Yes, there appears to be consistent evidence of enforcement by the RBI in relation to PSL</w:t>
            </w:r>
            <w:r>
              <w:rPr>
                <w:rFonts w:ascii="Calibri" w:hAnsi="Calibri" w:cs="Calibri"/>
                <w:lang w:val="en-IN"/>
              </w:rPr>
              <w:t xml:space="preserve"> </w:t>
            </w:r>
            <w:r w:rsidRPr="00E97B0E">
              <w:rPr>
                <w:rFonts w:ascii="Calibri" w:hAnsi="Calibri" w:cs="Calibri"/>
                <w:lang w:val="en-IN"/>
              </w:rPr>
              <w:t>obligations:</w:t>
            </w:r>
          </w:p>
          <w:p w14:paraId="0E73D300" w14:textId="570C97A3" w:rsidR="00E97B0E" w:rsidRPr="00E97B0E" w:rsidRDefault="00E97B0E" w:rsidP="00E97B0E">
            <w:pPr>
              <w:numPr>
                <w:ilvl w:val="0"/>
                <w:numId w:val="51"/>
              </w:numPr>
              <w:tabs>
                <w:tab w:val="num" w:pos="720"/>
              </w:tabs>
              <w:jc w:val="both"/>
              <w:rPr>
                <w:rFonts w:ascii="Calibri" w:hAnsi="Calibri" w:cs="Calibri"/>
                <w:lang w:val="en-IN"/>
              </w:rPr>
            </w:pPr>
            <w:r w:rsidRPr="00E97B0E">
              <w:rPr>
                <w:rFonts w:ascii="Calibri" w:hAnsi="Calibri" w:cs="Calibri"/>
                <w:lang w:val="en-IN"/>
              </w:rPr>
              <w:t>Penal allocations for shortfalls: RBI’s quarterly and annual disclosures suggest that banks with PSL deficits have made contributions to designated funds such as the RIDF, SIDBI, NHB, and MUDRA, in line with Paragraph 29, Master Directions 2025.</w:t>
            </w:r>
          </w:p>
          <w:p w14:paraId="7394013F" w14:textId="633F3464" w:rsidR="00DD292A" w:rsidRPr="00E97B0E" w:rsidRDefault="00E97B0E" w:rsidP="002B0F87">
            <w:pPr>
              <w:numPr>
                <w:ilvl w:val="0"/>
                <w:numId w:val="51"/>
              </w:numPr>
              <w:jc w:val="both"/>
              <w:rPr>
                <w:rFonts w:ascii="Calibri" w:hAnsi="Calibri" w:cs="Calibri"/>
                <w:lang w:val="en-IN"/>
              </w:rPr>
            </w:pPr>
            <w:r w:rsidRPr="00E97B0E">
              <w:rPr>
                <w:rFonts w:ascii="Calibri" w:hAnsi="Calibri" w:cs="Calibri"/>
                <w:lang w:val="en-IN"/>
              </w:rPr>
              <w:t>Published data: The RBI Annual Report 2024–25 indicates that several banks likely made such allocations to offset shortfalls, reflecting adherence to the prescribed enforcement framework.</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DFA7C53" w:rsidR="00DD292A" w:rsidRPr="00CF2E7C" w:rsidRDefault="00256A96"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126BA840" w:rsidR="00410853" w:rsidRPr="00CF2E7C" w:rsidRDefault="00610E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0987C146" w:rsidR="00410853" w:rsidRPr="00CF2E7C" w:rsidRDefault="00A43505" w:rsidP="002B0F87">
            <w:pPr>
              <w:jc w:val="both"/>
              <w:textAlignment w:val="baseline"/>
              <w:rPr>
                <w:rFonts w:ascii="Calibri" w:eastAsia="Times New Roman" w:hAnsi="Calibri" w:cs="Calibri"/>
                <w:kern w:val="0"/>
                <w:lang w:eastAsia="en-GB"/>
                <w14:ligatures w14:val="none"/>
              </w:rPr>
            </w:pPr>
            <w:r w:rsidRPr="00A43505">
              <w:rPr>
                <w:rFonts w:ascii="Calibri" w:eastAsia="Times New Roman" w:hAnsi="Calibri" w:cs="Calibri"/>
                <w:kern w:val="0"/>
                <w:lang w:eastAsia="en-GB"/>
                <w14:ligatures w14:val="none"/>
              </w:rPr>
              <w:t>The objective of the PSL policy is to mandate the allocation of a specified portion of bank credit to identified sectors such as agriculture, social infrastructure, and renewable energy, with the aim of promoting inclusive financial access and ensuring adequate credit flow to underserved segments, in line with prudential banking regulations.</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1B052EC" w:rsidR="008C4722" w:rsidRPr="00773F3F" w:rsidRDefault="00A6418A" w:rsidP="002B0F87">
            <w:pPr>
              <w:jc w:val="both"/>
              <w:textAlignment w:val="baseline"/>
              <w:rPr>
                <w:rFonts w:ascii="Calibri" w:eastAsia="Times New Roman" w:hAnsi="Calibri" w:cs="Calibri"/>
                <w:kern w:val="0"/>
                <w:lang w:eastAsia="en-GB"/>
                <w14:ligatures w14:val="none"/>
              </w:rPr>
            </w:pPr>
            <w:r w:rsidRPr="00A6418A">
              <w:rPr>
                <w:rFonts w:ascii="Calibri" w:eastAsia="Times New Roman" w:hAnsi="Calibri" w:cs="Calibri"/>
                <w:kern w:val="0"/>
                <w:lang w:eastAsia="en-GB"/>
                <w14:ligatures w14:val="none"/>
              </w:rPr>
              <w:t>While the PSL framework is not expressly intended as a climate risk management instrument, it incorporates elements that support climate-related objectives. Specifically, Paragraph 11.4 of the Master Directions sets a sub-target for lending to renewable energy, which facilitates credit flow to low-carbon sectors. This may help reduce exposure to carbon-intensive industries and promote alignment with transition risk considerations.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5FC097B0" w:rsidR="008C4722" w:rsidRPr="00CF2E7C" w:rsidRDefault="005066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0A457BCD" w:rsidR="007B7DEE" w:rsidRPr="00CF2E7C" w:rsidRDefault="0076213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7B6160E0" w:rsidR="00ED7E12" w:rsidRPr="00CF2E7C" w:rsidRDefault="0076213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4374ED2" w:rsidR="00ED7E12" w:rsidRPr="00CF2E7C" w:rsidRDefault="0076213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4D5E6CA5" w:rsidR="00ED7E12" w:rsidRPr="00CF2E7C" w:rsidRDefault="00525356" w:rsidP="002B0F87">
            <w:pPr>
              <w:jc w:val="both"/>
              <w:textAlignment w:val="baseline"/>
              <w:rPr>
                <w:rFonts w:ascii="Calibri" w:eastAsia="Times New Roman" w:hAnsi="Calibri" w:cs="Calibri"/>
                <w:kern w:val="0"/>
                <w:lang w:eastAsia="en-GB"/>
                <w14:ligatures w14:val="none"/>
              </w:rPr>
            </w:pPr>
            <w:r w:rsidRPr="00525356">
              <w:rPr>
                <w:rFonts w:ascii="Calibri" w:eastAsia="Times New Roman" w:hAnsi="Calibri" w:cs="Calibri"/>
                <w:kern w:val="0"/>
                <w:lang w:eastAsia="en-GB"/>
                <w14:ligatures w14:val="none"/>
              </w:rPr>
              <w:t>Compliance with PSL obligations is monitored through a self-reporting mechanism outlined in Paragraph 28 of the Master Directions. Banks are required to submit data on PSL performance on a quarterly basis (within 15 days) and annually (within one month) to the RBI. The RBI reviews these submissions to assess adherence. In cases of shortfall, enforcement is undertaken through the mechanism prescribed in Paragraph 29, which requires banks to deposit the deficit amount with designated institutions such as NABARD, SIDBI, NHB, or MUDRA.</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lastRenderedPageBreak/>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w:t>
            </w:r>
            <w:r w:rsidRPr="00CF2E7C">
              <w:rPr>
                <w:rFonts w:ascii="Calibri" w:eastAsia="Times New Roman" w:hAnsi="Calibri" w:cs="Calibri"/>
                <w:kern w:val="0"/>
                <w:lang w:eastAsia="en-GB"/>
                <w14:ligatures w14:val="none"/>
              </w:rPr>
              <w:lastRenderedPageBreak/>
              <w:t xml:space="preserve">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lastRenderedPageBreak/>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4173510C" w:rsidR="00702413" w:rsidRPr="009C4D10" w:rsidRDefault="00702413" w:rsidP="002B0F87">
            <w:pPr>
              <w:jc w:val="both"/>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5CDDFD" w14:textId="77777777" w:rsidR="00B623B2" w:rsidRPr="00B623B2" w:rsidRDefault="00B623B2" w:rsidP="00B623B2">
            <w:pPr>
              <w:jc w:val="both"/>
              <w:textAlignment w:val="baseline"/>
              <w:rPr>
                <w:rFonts w:eastAsia="Times New Roman" w:cstheme="minorHAnsi"/>
                <w:lang w:val="en-IN" w:eastAsia="en-GB"/>
              </w:rPr>
            </w:pPr>
            <w:r w:rsidRPr="00B623B2">
              <w:rPr>
                <w:rFonts w:eastAsia="Times New Roman" w:cstheme="minorHAnsi"/>
                <w:lang w:val="en-IN" w:eastAsia="en-GB"/>
              </w:rPr>
              <w:t>a) Limited integration of climate risk – PSL mandates sectoral credit but does not incorporate climate risk metrics, stress testing, or disclosure requirements, limiting its effectiveness as a climate risk tool.</w:t>
            </w:r>
          </w:p>
          <w:p w14:paraId="0ABD209C" w14:textId="77777777" w:rsidR="00B623B2" w:rsidRPr="00B623B2" w:rsidRDefault="00B623B2" w:rsidP="00B623B2">
            <w:pPr>
              <w:jc w:val="both"/>
              <w:textAlignment w:val="baseline"/>
              <w:rPr>
                <w:rFonts w:eastAsia="Times New Roman" w:cstheme="minorHAnsi"/>
                <w:lang w:val="en-IN" w:eastAsia="en-GB"/>
              </w:rPr>
            </w:pPr>
            <w:r w:rsidRPr="00B623B2">
              <w:rPr>
                <w:rFonts w:eastAsia="Times New Roman" w:cstheme="minorHAnsi"/>
                <w:lang w:val="en-IN" w:eastAsia="en-GB"/>
              </w:rPr>
              <w:t>b) No green taxonomy – The absence of a national green or sustainable finance taxonomy hinders alignment with global classification standards.</w:t>
            </w:r>
          </w:p>
          <w:p w14:paraId="1498B127" w14:textId="77777777" w:rsidR="00B623B2" w:rsidRPr="00B623B2" w:rsidRDefault="00B623B2" w:rsidP="00B623B2">
            <w:pPr>
              <w:jc w:val="both"/>
              <w:textAlignment w:val="baseline"/>
              <w:rPr>
                <w:rFonts w:eastAsia="Times New Roman" w:cstheme="minorHAnsi"/>
                <w:lang w:val="en-IN" w:eastAsia="en-GB"/>
              </w:rPr>
            </w:pPr>
            <w:r w:rsidRPr="00B623B2">
              <w:rPr>
                <w:rFonts w:eastAsia="Times New Roman" w:cstheme="minorHAnsi"/>
                <w:lang w:val="en-IN" w:eastAsia="en-GB"/>
              </w:rPr>
              <w:t>c) Uniform targets – PSL targets apply uniformly across banks, without factoring in their specific exposure to carbon-intensive sectors.</w:t>
            </w:r>
          </w:p>
          <w:p w14:paraId="718D87F5" w14:textId="37694CDA" w:rsidR="002846D7" w:rsidRPr="002B0F87" w:rsidRDefault="00B623B2" w:rsidP="002B0F87">
            <w:pPr>
              <w:jc w:val="both"/>
              <w:textAlignment w:val="baseline"/>
              <w:rPr>
                <w:rFonts w:eastAsia="Times New Roman" w:cstheme="minorHAnsi"/>
                <w:lang w:val="en-IN" w:eastAsia="en-GB"/>
              </w:rPr>
            </w:pPr>
            <w:r w:rsidRPr="00B623B2">
              <w:rPr>
                <w:rFonts w:eastAsia="Times New Roman" w:cstheme="minorHAnsi"/>
                <w:lang w:val="en-IN" w:eastAsia="en-GB"/>
              </w:rPr>
              <w:t>d) Narrow institutional scope – The framework applies only to Scheduled Commercial Banks, excluding NBFCs, insurers, and asset managers from similar obligations.</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0659DFF" w:rsidR="00FE0EA5" w:rsidRPr="009C4D10" w:rsidRDefault="00FE0EA5" w:rsidP="00CF2E7C">
            <w:pPr>
              <w:rPr>
                <w:rFonts w:cstheme="minorHAnsi"/>
              </w:rPr>
            </w:pPr>
            <w:r w:rsidRPr="009C4D10">
              <w:rPr>
                <w:rFonts w:cstheme="minorHAnsi"/>
                <w:lang w:val="en-SG"/>
              </w:rPr>
              <w:t> </w:t>
            </w:r>
            <w:r w:rsidRPr="009C4D10">
              <w:rPr>
                <w:rFonts w:cstheme="minorHAnsi"/>
              </w:rPr>
              <w:t> </w:t>
            </w:r>
            <w:r w:rsidR="008C3C45">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68772552" w:rsidR="00FE0EA5" w:rsidRPr="009C4D10" w:rsidRDefault="00FE0EA5" w:rsidP="00CF2E7C">
            <w:pPr>
              <w:rPr>
                <w:rFonts w:cstheme="minorHAnsi"/>
              </w:rPr>
            </w:pPr>
            <w:r w:rsidRPr="009C4D10">
              <w:rPr>
                <w:rFonts w:cstheme="minorHAnsi"/>
                <w:lang w:val="en-SG"/>
              </w:rPr>
              <w:t> </w:t>
            </w:r>
            <w:r w:rsidRPr="009C4D10">
              <w:rPr>
                <w:rFonts w:cstheme="minorHAnsi"/>
              </w:rPr>
              <w:t> </w:t>
            </w:r>
            <w:r w:rsidR="008C3C45">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2A0FDE00" w:rsidR="00FE0EA5" w:rsidRPr="009C4D10" w:rsidRDefault="00FE0EA5" w:rsidP="00CF2E7C">
            <w:pPr>
              <w:rPr>
                <w:rFonts w:cstheme="minorHAnsi"/>
              </w:rPr>
            </w:pPr>
            <w:r w:rsidRPr="009C4D10">
              <w:rPr>
                <w:rFonts w:cstheme="minorHAnsi"/>
                <w:lang w:val="en-SG"/>
              </w:rPr>
              <w:t> </w:t>
            </w:r>
            <w:r w:rsidRPr="009C4D10">
              <w:rPr>
                <w:rFonts w:cstheme="minorHAnsi"/>
              </w:rPr>
              <w:t> </w:t>
            </w:r>
            <w:r w:rsidR="008C3C45">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208858EE" w:rsidR="00FE0EA5" w:rsidRPr="009C4D10" w:rsidRDefault="00FE0EA5" w:rsidP="00CF2E7C">
            <w:pPr>
              <w:rPr>
                <w:rFonts w:cstheme="minorHAnsi"/>
              </w:rPr>
            </w:pPr>
            <w:r w:rsidRPr="009C4D10">
              <w:rPr>
                <w:rFonts w:cstheme="minorHAnsi"/>
                <w:lang w:val="en-SG"/>
              </w:rPr>
              <w:t> </w:t>
            </w:r>
            <w:r w:rsidRPr="009C4D10">
              <w:rPr>
                <w:rFonts w:cstheme="minorHAnsi"/>
              </w:rPr>
              <w:t> </w:t>
            </w:r>
            <w:r w:rsidR="008C3C45">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0D23BE6E" w:rsidR="00FE0EA5" w:rsidRPr="009C4D10" w:rsidRDefault="00FE0EA5" w:rsidP="00CF2E7C">
            <w:pPr>
              <w:rPr>
                <w:rFonts w:cstheme="minorHAnsi"/>
              </w:rPr>
            </w:pPr>
            <w:r w:rsidRPr="009C4D10">
              <w:rPr>
                <w:rFonts w:cstheme="minorHAnsi"/>
                <w:lang w:val="en-SG"/>
              </w:rPr>
              <w:t> </w:t>
            </w:r>
            <w:r w:rsidRPr="009C4D10">
              <w:rPr>
                <w:rFonts w:cstheme="minorHAnsi"/>
              </w:rPr>
              <w:t> </w:t>
            </w:r>
            <w:r w:rsidR="008C3C45">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05BAB31A" w:rsidR="00FE0EA5" w:rsidRPr="009C4D10" w:rsidRDefault="00FE0EA5" w:rsidP="00CF2E7C">
            <w:pPr>
              <w:rPr>
                <w:rFonts w:cstheme="minorHAnsi"/>
              </w:rPr>
            </w:pPr>
            <w:r w:rsidRPr="009C4D10">
              <w:rPr>
                <w:rFonts w:cstheme="minorHAnsi"/>
              </w:rPr>
              <w:t>  </w:t>
            </w:r>
            <w:r w:rsidR="008C3C45">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21A6E023" w:rsidR="00FE0EA5" w:rsidRPr="009C4D10" w:rsidRDefault="00FE0EA5" w:rsidP="00CF2E7C">
            <w:pPr>
              <w:rPr>
                <w:rFonts w:cstheme="minorHAnsi"/>
              </w:rPr>
            </w:pPr>
            <w:r w:rsidRPr="009C4D10">
              <w:rPr>
                <w:rFonts w:cstheme="minorHAnsi"/>
                <w:lang w:val="en-SG"/>
              </w:rPr>
              <w:t> </w:t>
            </w:r>
            <w:r w:rsidRPr="009C4D10">
              <w:rPr>
                <w:rFonts w:cstheme="minorHAnsi"/>
              </w:rPr>
              <w:t> </w:t>
            </w:r>
            <w:r w:rsidR="008C3C45">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DB63A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4E0342" w14:textId="77777777" w:rsidR="005F3C8F" w:rsidRDefault="005F3C8F" w:rsidP="00874E39">
      <w:r>
        <w:separator/>
      </w:r>
    </w:p>
  </w:endnote>
  <w:endnote w:type="continuationSeparator" w:id="0">
    <w:p w14:paraId="24E95628" w14:textId="77777777" w:rsidR="005F3C8F" w:rsidRDefault="005F3C8F" w:rsidP="00874E39">
      <w:r>
        <w:continuationSeparator/>
      </w:r>
    </w:p>
  </w:endnote>
  <w:endnote w:type="continuationNotice" w:id="1">
    <w:p w14:paraId="24C1E2B0" w14:textId="77777777" w:rsidR="005F3C8F" w:rsidRDefault="005F3C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FA26DC" w14:textId="77777777" w:rsidR="005F3C8F" w:rsidRDefault="005F3C8F" w:rsidP="00874E39">
      <w:r>
        <w:separator/>
      </w:r>
    </w:p>
  </w:footnote>
  <w:footnote w:type="continuationSeparator" w:id="0">
    <w:p w14:paraId="1A753D89" w14:textId="77777777" w:rsidR="005F3C8F" w:rsidRDefault="005F3C8F" w:rsidP="00874E39">
      <w:r>
        <w:continuationSeparator/>
      </w:r>
    </w:p>
  </w:footnote>
  <w:footnote w:type="continuationNotice" w:id="1">
    <w:p w14:paraId="3CC704A3" w14:textId="77777777" w:rsidR="005F3C8F" w:rsidRDefault="005F3C8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6A105E5"/>
    <w:multiLevelType w:val="multilevel"/>
    <w:tmpl w:val="CC322900"/>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6E5843"/>
    <w:multiLevelType w:val="multilevel"/>
    <w:tmpl w:val="7E448C5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6C332EB"/>
    <w:multiLevelType w:val="hybridMultilevel"/>
    <w:tmpl w:val="1B20FB02"/>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4"/>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2"/>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7"/>
  </w:num>
  <w:num w:numId="19" w16cid:durableId="1530605858">
    <w:abstractNumId w:val="45"/>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7"/>
  </w:num>
  <w:num w:numId="25" w16cid:durableId="1659531047">
    <w:abstractNumId w:val="46"/>
  </w:num>
  <w:num w:numId="26" w16cid:durableId="752774403">
    <w:abstractNumId w:val="23"/>
  </w:num>
  <w:num w:numId="27" w16cid:durableId="347872198">
    <w:abstractNumId w:val="6"/>
  </w:num>
  <w:num w:numId="28" w16cid:durableId="537133110">
    <w:abstractNumId w:val="12"/>
  </w:num>
  <w:num w:numId="29" w16cid:durableId="1632318729">
    <w:abstractNumId w:val="48"/>
  </w:num>
  <w:num w:numId="30" w16cid:durableId="1268124074">
    <w:abstractNumId w:val="33"/>
  </w:num>
  <w:num w:numId="31" w16cid:durableId="887108748">
    <w:abstractNumId w:val="30"/>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3"/>
  </w:num>
  <w:num w:numId="46" w16cid:durableId="947811845">
    <w:abstractNumId w:val="49"/>
  </w:num>
  <w:num w:numId="47" w16cid:durableId="342588554">
    <w:abstractNumId w:val="26"/>
  </w:num>
  <w:num w:numId="48" w16cid:durableId="318391343">
    <w:abstractNumId w:val="38"/>
  </w:num>
  <w:num w:numId="49" w16cid:durableId="726613817">
    <w:abstractNumId w:val="18"/>
  </w:num>
  <w:num w:numId="50" w16cid:durableId="347873911">
    <w:abstractNumId w:val="42"/>
  </w:num>
  <w:num w:numId="51" w16cid:durableId="1264650683">
    <w:abstractNumId w:val="3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B56"/>
    <w:rsid w:val="00034EDB"/>
    <w:rsid w:val="00035464"/>
    <w:rsid w:val="000354C0"/>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3411"/>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56D3"/>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6F0"/>
    <w:rsid w:val="00172B85"/>
    <w:rsid w:val="00173D7C"/>
    <w:rsid w:val="0017449C"/>
    <w:rsid w:val="001749C3"/>
    <w:rsid w:val="00176011"/>
    <w:rsid w:val="00180289"/>
    <w:rsid w:val="00180F5E"/>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B9A"/>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5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376"/>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6A96"/>
    <w:rsid w:val="0025765F"/>
    <w:rsid w:val="00257732"/>
    <w:rsid w:val="00264CBC"/>
    <w:rsid w:val="0026588F"/>
    <w:rsid w:val="0026642F"/>
    <w:rsid w:val="002679A5"/>
    <w:rsid w:val="0027067C"/>
    <w:rsid w:val="00270A4D"/>
    <w:rsid w:val="00272D9A"/>
    <w:rsid w:val="002737EF"/>
    <w:rsid w:val="00274335"/>
    <w:rsid w:val="00274864"/>
    <w:rsid w:val="00274B22"/>
    <w:rsid w:val="00274C99"/>
    <w:rsid w:val="00277FC5"/>
    <w:rsid w:val="002846D7"/>
    <w:rsid w:val="00284ADD"/>
    <w:rsid w:val="00285DA7"/>
    <w:rsid w:val="00286683"/>
    <w:rsid w:val="00286FE0"/>
    <w:rsid w:val="002878A1"/>
    <w:rsid w:val="002912CD"/>
    <w:rsid w:val="00295770"/>
    <w:rsid w:val="00295DDD"/>
    <w:rsid w:val="00296362"/>
    <w:rsid w:val="002968A6"/>
    <w:rsid w:val="00296B72"/>
    <w:rsid w:val="00296D90"/>
    <w:rsid w:val="0029703E"/>
    <w:rsid w:val="002A0239"/>
    <w:rsid w:val="002A1860"/>
    <w:rsid w:val="002A1997"/>
    <w:rsid w:val="002A237B"/>
    <w:rsid w:val="002A32E0"/>
    <w:rsid w:val="002A3C84"/>
    <w:rsid w:val="002A3F53"/>
    <w:rsid w:val="002A4221"/>
    <w:rsid w:val="002A6274"/>
    <w:rsid w:val="002A6707"/>
    <w:rsid w:val="002B0F8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42E"/>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0E13"/>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66EA"/>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356"/>
    <w:rsid w:val="0052600B"/>
    <w:rsid w:val="00526617"/>
    <w:rsid w:val="00530553"/>
    <w:rsid w:val="00530958"/>
    <w:rsid w:val="00532585"/>
    <w:rsid w:val="00532B66"/>
    <w:rsid w:val="00536B60"/>
    <w:rsid w:val="00537706"/>
    <w:rsid w:val="005405A8"/>
    <w:rsid w:val="0054133A"/>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8F6"/>
    <w:rsid w:val="00582995"/>
    <w:rsid w:val="00584EE1"/>
    <w:rsid w:val="00586A0A"/>
    <w:rsid w:val="005870D5"/>
    <w:rsid w:val="00587FAE"/>
    <w:rsid w:val="005900AD"/>
    <w:rsid w:val="005923CF"/>
    <w:rsid w:val="00592CDE"/>
    <w:rsid w:val="005938A6"/>
    <w:rsid w:val="005946B7"/>
    <w:rsid w:val="00594715"/>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06F1"/>
    <w:rsid w:val="005F1EF0"/>
    <w:rsid w:val="005F2454"/>
    <w:rsid w:val="005F2B91"/>
    <w:rsid w:val="005F2D73"/>
    <w:rsid w:val="005F2EA1"/>
    <w:rsid w:val="005F3137"/>
    <w:rsid w:val="005F3C8F"/>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E0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776E6"/>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213E"/>
    <w:rsid w:val="00763C64"/>
    <w:rsid w:val="00764D1A"/>
    <w:rsid w:val="00764DB3"/>
    <w:rsid w:val="00765130"/>
    <w:rsid w:val="007653FB"/>
    <w:rsid w:val="0076706A"/>
    <w:rsid w:val="0077017A"/>
    <w:rsid w:val="007710D7"/>
    <w:rsid w:val="00773639"/>
    <w:rsid w:val="00773F3F"/>
    <w:rsid w:val="00774353"/>
    <w:rsid w:val="00775056"/>
    <w:rsid w:val="007759A9"/>
    <w:rsid w:val="007759EF"/>
    <w:rsid w:val="00775C7B"/>
    <w:rsid w:val="00777550"/>
    <w:rsid w:val="00777BF4"/>
    <w:rsid w:val="00777E1D"/>
    <w:rsid w:val="0078028C"/>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DB2"/>
    <w:rsid w:val="007C2EAF"/>
    <w:rsid w:val="007C32D8"/>
    <w:rsid w:val="007C3BD3"/>
    <w:rsid w:val="007C3CB6"/>
    <w:rsid w:val="007C5200"/>
    <w:rsid w:val="007C77AA"/>
    <w:rsid w:val="007D33C4"/>
    <w:rsid w:val="007D3472"/>
    <w:rsid w:val="007D366D"/>
    <w:rsid w:val="007D3862"/>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54F"/>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8B6"/>
    <w:rsid w:val="00877C38"/>
    <w:rsid w:val="00877FBD"/>
    <w:rsid w:val="00880170"/>
    <w:rsid w:val="00880274"/>
    <w:rsid w:val="008812AC"/>
    <w:rsid w:val="008835E8"/>
    <w:rsid w:val="008840E5"/>
    <w:rsid w:val="008854D8"/>
    <w:rsid w:val="008857E8"/>
    <w:rsid w:val="00885CB2"/>
    <w:rsid w:val="00886005"/>
    <w:rsid w:val="008870C1"/>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31A0"/>
    <w:rsid w:val="008B4536"/>
    <w:rsid w:val="008B5DC5"/>
    <w:rsid w:val="008B7E8C"/>
    <w:rsid w:val="008B7F82"/>
    <w:rsid w:val="008C07E1"/>
    <w:rsid w:val="008C0FA6"/>
    <w:rsid w:val="008C2AC5"/>
    <w:rsid w:val="008C2E61"/>
    <w:rsid w:val="008C3C45"/>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815"/>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505"/>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418A"/>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1409"/>
    <w:rsid w:val="00B22535"/>
    <w:rsid w:val="00B2441D"/>
    <w:rsid w:val="00B24E10"/>
    <w:rsid w:val="00B25E7E"/>
    <w:rsid w:val="00B2670C"/>
    <w:rsid w:val="00B310C1"/>
    <w:rsid w:val="00B32231"/>
    <w:rsid w:val="00B338DB"/>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3B2"/>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D62"/>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C7D"/>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6AF"/>
    <w:rsid w:val="00CA5087"/>
    <w:rsid w:val="00CA58EE"/>
    <w:rsid w:val="00CA7EEF"/>
    <w:rsid w:val="00CB1649"/>
    <w:rsid w:val="00CB179D"/>
    <w:rsid w:val="00CB3E5E"/>
    <w:rsid w:val="00CB4EBD"/>
    <w:rsid w:val="00CB6338"/>
    <w:rsid w:val="00CB712A"/>
    <w:rsid w:val="00CB76AA"/>
    <w:rsid w:val="00CB790E"/>
    <w:rsid w:val="00CC1407"/>
    <w:rsid w:val="00CC450D"/>
    <w:rsid w:val="00CC4FFC"/>
    <w:rsid w:val="00CC5328"/>
    <w:rsid w:val="00CC77F9"/>
    <w:rsid w:val="00CC7CC0"/>
    <w:rsid w:val="00CD0634"/>
    <w:rsid w:val="00CD0735"/>
    <w:rsid w:val="00CD3D23"/>
    <w:rsid w:val="00CD42E0"/>
    <w:rsid w:val="00CD46A3"/>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B3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3AC"/>
    <w:rsid w:val="00DB6C3C"/>
    <w:rsid w:val="00DC18A5"/>
    <w:rsid w:val="00DC1D8C"/>
    <w:rsid w:val="00DC231D"/>
    <w:rsid w:val="00DC31BF"/>
    <w:rsid w:val="00DC33EF"/>
    <w:rsid w:val="00DC4911"/>
    <w:rsid w:val="00DC66E9"/>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B0E"/>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783"/>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0BE7"/>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67A8"/>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25E5"/>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7263579">
      <w:bodyDiv w:val="1"/>
      <w:marLeft w:val="0"/>
      <w:marRight w:val="0"/>
      <w:marTop w:val="0"/>
      <w:marBottom w:val="0"/>
      <w:divBdr>
        <w:top w:val="none" w:sz="0" w:space="0" w:color="auto"/>
        <w:left w:val="none" w:sz="0" w:space="0" w:color="auto"/>
        <w:bottom w:val="none" w:sz="0" w:space="0" w:color="auto"/>
        <w:right w:val="none" w:sz="0" w:space="0" w:color="auto"/>
      </w:divBdr>
    </w:div>
    <w:div w:id="14555755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065781">
      <w:bodyDiv w:val="1"/>
      <w:marLeft w:val="0"/>
      <w:marRight w:val="0"/>
      <w:marTop w:val="0"/>
      <w:marBottom w:val="0"/>
      <w:divBdr>
        <w:top w:val="none" w:sz="0" w:space="0" w:color="auto"/>
        <w:left w:val="none" w:sz="0" w:space="0" w:color="auto"/>
        <w:bottom w:val="none" w:sz="0" w:space="0" w:color="auto"/>
        <w:right w:val="none" w:sz="0" w:space="0" w:color="auto"/>
      </w:divBdr>
    </w:div>
    <w:div w:id="588390968">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2537637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490314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6739061">
      <w:bodyDiv w:val="1"/>
      <w:marLeft w:val="0"/>
      <w:marRight w:val="0"/>
      <w:marTop w:val="0"/>
      <w:marBottom w:val="0"/>
      <w:divBdr>
        <w:top w:val="none" w:sz="0" w:space="0" w:color="auto"/>
        <w:left w:val="none" w:sz="0" w:space="0" w:color="auto"/>
        <w:bottom w:val="none" w:sz="0" w:space="0" w:color="auto"/>
        <w:right w:val="none" w:sz="0" w:space="0" w:color="auto"/>
      </w:divBdr>
    </w:div>
    <w:div w:id="1468430925">
      <w:bodyDiv w:val="1"/>
      <w:marLeft w:val="0"/>
      <w:marRight w:val="0"/>
      <w:marTop w:val="0"/>
      <w:marBottom w:val="0"/>
      <w:divBdr>
        <w:top w:val="none" w:sz="0" w:space="0" w:color="auto"/>
        <w:left w:val="none" w:sz="0" w:space="0" w:color="auto"/>
        <w:bottom w:val="none" w:sz="0" w:space="0" w:color="auto"/>
        <w:right w:val="none" w:sz="0" w:space="0" w:color="auto"/>
      </w:divBdr>
    </w:div>
    <w:div w:id="167434038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8509862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7508344">
      <w:bodyDiv w:val="1"/>
      <w:marLeft w:val="0"/>
      <w:marRight w:val="0"/>
      <w:marTop w:val="0"/>
      <w:marBottom w:val="0"/>
      <w:divBdr>
        <w:top w:val="none" w:sz="0" w:space="0" w:color="auto"/>
        <w:left w:val="none" w:sz="0" w:space="0" w:color="auto"/>
        <w:bottom w:val="none" w:sz="0" w:space="0" w:color="auto"/>
        <w:right w:val="none" w:sz="0" w:space="0" w:color="auto"/>
      </w:divBdr>
    </w:div>
    <w:div w:id="2067870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63543/https://www.rbi.org.in/Scripts/BS_ViewMasDirections.aspx?id=12799"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f3ae4679-24f8-43cb-880e-0de6e561589c"/>
    <ds:schemaRef ds:uri="http://schemas.openxmlformats.org/package/2006/metadata/core-properties"/>
    <ds:schemaRef ds:uri="http://schemas.microsoft.com/office/infopath/2007/PartnerControls"/>
    <ds:schemaRef ds:uri="http://www.w3.org/XML/1998/namespace"/>
    <ds:schemaRef ds:uri="http://schemas.microsoft.com/office/2006/documentManagement/types"/>
    <ds:schemaRef ds:uri="http://purl.org/dc/dcmitype/"/>
    <ds:schemaRef ds:uri="http://purl.org/dc/elements/1.1/"/>
    <ds:schemaRef ds:uri="a84edb6d-cf86-4b2b-8a62-38e962ed6fbe"/>
    <ds:schemaRef ds:uri="http://schemas.microsoft.com/office/2006/metadata/properties"/>
    <ds:schemaRef ds:uri="http://purl.org/dc/terms/"/>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47</Pages>
  <Words>22528</Words>
  <Characters>128415</Characters>
  <Application>Microsoft Office Word</Application>
  <DocSecurity>0</DocSecurity>
  <Lines>1070</Lines>
  <Paragraphs>301</Paragraphs>
  <ScaleCrop>false</ScaleCrop>
  <Company/>
  <LinksUpToDate>false</LinksUpToDate>
  <CharactersWithSpaces>150642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Vihaan Pathak</cp:lastModifiedBy>
  <cp:revision>45</cp:revision>
  <cp:lastPrinted>2025-03-21T00:14:00Z</cp:lastPrinted>
  <dcterms:created xsi:type="dcterms:W3CDTF">2025-06-23T10:46:00Z</dcterms:created>
  <dcterms:modified xsi:type="dcterms:W3CDTF">2025-07-08T17:45:00Z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